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EEF" w:rsidRDefault="00C20A24">
      <w:pPr>
        <w:spacing w:after="165" w:line="360" w:lineRule="auto"/>
        <w:jc w:val="both"/>
        <w:rPr>
          <w:rFonts w:ascii="Century Gothic" w:eastAsia="Century Gothic" w:hAnsi="Century Gothic" w:cs="Century Gothic"/>
          <w:b/>
          <w:color w:val="215E99"/>
          <w:sz w:val="32"/>
          <w:szCs w:val="32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b/>
          <w:color w:val="215E99"/>
          <w:sz w:val="32"/>
          <w:szCs w:val="32"/>
        </w:rPr>
        <w:t>ETEC GETÚLIO VARGAS COMEMORA 113 ANOS NESTE MÊS DE SETEMBRO COM ATIVIDADES CULTURAIS</w:t>
      </w:r>
    </w:p>
    <w:p w:rsidR="002D2EEF" w:rsidRDefault="002D2EEF">
      <w:pPr>
        <w:spacing w:after="165" w:line="240" w:lineRule="auto"/>
        <w:jc w:val="both"/>
        <w:rPr>
          <w:rFonts w:ascii="Century Gothic" w:eastAsia="Century Gothic" w:hAnsi="Century Gothic" w:cs="Century Gothic"/>
          <w:b/>
          <w:color w:val="215E99"/>
          <w:sz w:val="32"/>
          <w:szCs w:val="32"/>
        </w:rPr>
      </w:pPr>
    </w:p>
    <w:p w:rsidR="002D2EEF" w:rsidRDefault="002D2EEF">
      <w:pPr>
        <w:spacing w:after="165" w:line="240" w:lineRule="auto"/>
        <w:jc w:val="both"/>
        <w:rPr>
          <w:rFonts w:ascii="Century Gothic" w:eastAsia="Century Gothic" w:hAnsi="Century Gothic" w:cs="Century Gothic"/>
          <w:b/>
          <w:color w:val="215E99"/>
          <w:sz w:val="32"/>
          <w:szCs w:val="32"/>
        </w:rPr>
      </w:pPr>
    </w:p>
    <w:p w:rsidR="002D2EEF" w:rsidRDefault="00C20A24">
      <w:pPr>
        <w:spacing w:after="165" w:line="360" w:lineRule="auto"/>
        <w:jc w:val="both"/>
        <w:rPr>
          <w:rFonts w:ascii="Century Gothic" w:eastAsia="Century Gothic" w:hAnsi="Century Gothic" w:cs="Century Gothic"/>
          <w:b/>
          <w:color w:val="215E99"/>
          <w:sz w:val="28"/>
          <w:szCs w:val="28"/>
        </w:rPr>
      </w:pPr>
      <w:r>
        <w:rPr>
          <w:rFonts w:ascii="Century Gothic" w:eastAsia="Century Gothic" w:hAnsi="Century Gothic" w:cs="Century Gothic"/>
          <w:color w:val="215E99"/>
          <w:sz w:val="28"/>
          <w:szCs w:val="28"/>
        </w:rPr>
        <w:t xml:space="preserve">PARA ESTE ANO DE 2024, A ETEC GV VEM REALIZANDO UMA SEMANA CULTURAL INTERNA COM O ENVOLVIMENTO DE PROFESSORES E ALUNOS E, PARA O ANIVERSÁRIO DA ESCOLA, QUE SE DARÁ NO SÁBADO, DIA 28/09, HAVERÁ </w:t>
      </w:r>
      <w:r>
        <w:rPr>
          <w:rFonts w:ascii="Century Gothic" w:eastAsia="Century Gothic" w:hAnsi="Century Gothic" w:cs="Century Gothic"/>
          <w:b/>
          <w:color w:val="215E99"/>
          <w:sz w:val="28"/>
          <w:szCs w:val="28"/>
        </w:rPr>
        <w:t xml:space="preserve">ESCOLA ABERTA, </w:t>
      </w:r>
      <w:r>
        <w:rPr>
          <w:rFonts w:ascii="Century Gothic" w:eastAsia="Century Gothic" w:hAnsi="Century Gothic" w:cs="Century Gothic"/>
          <w:color w:val="215E99"/>
          <w:sz w:val="28"/>
          <w:szCs w:val="28"/>
        </w:rPr>
        <w:t>DAS 10 ÀS 16H,</w:t>
      </w:r>
      <w:r>
        <w:rPr>
          <w:rFonts w:ascii="Century Gothic" w:eastAsia="Century Gothic" w:hAnsi="Century Gothic" w:cs="Century Gothic"/>
          <w:b/>
          <w:color w:val="215E99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color w:val="215E99"/>
          <w:sz w:val="28"/>
          <w:szCs w:val="28"/>
        </w:rPr>
        <w:t>ONDE A COMUNIDADE PODERÁ CONHECER</w:t>
      </w:r>
      <w:r>
        <w:rPr>
          <w:rFonts w:ascii="Century Gothic" w:eastAsia="Century Gothic" w:hAnsi="Century Gothic" w:cs="Century Gothic"/>
          <w:color w:val="215E99"/>
          <w:sz w:val="28"/>
          <w:szCs w:val="28"/>
        </w:rPr>
        <w:t xml:space="preserve"> UM POUCO DAS ATIVIDADES REALIZADAS NESTA EDIÇÃO ESPECIAL DE CELEBRAÇÃO.</w:t>
      </w:r>
    </w:p>
    <w:p w:rsidR="002D2EEF" w:rsidRDefault="002D2EEF">
      <w:pPr>
        <w:spacing w:after="165" w:line="24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</w:p>
    <w:p w:rsidR="002D2EEF" w:rsidRDefault="00C20A24">
      <w:pPr>
        <w:spacing w:after="165" w:line="24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color w:val="333333"/>
          <w:sz w:val="24"/>
          <w:szCs w:val="24"/>
        </w:rPr>
        <w:drawing>
          <wp:inline distT="0" distB="0" distL="0" distR="0">
            <wp:extent cx="6064753" cy="3439277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4753" cy="3439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2EEF" w:rsidRDefault="00C20A24">
      <w:pPr>
        <w:spacing w:after="165" w:line="240" w:lineRule="auto"/>
        <w:jc w:val="center"/>
        <w:rPr>
          <w:rFonts w:ascii="Century Gothic" w:eastAsia="Century Gothic" w:hAnsi="Century Gothic" w:cs="Century Gothic"/>
          <w:b/>
          <w:color w:val="333333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333333"/>
          <w:sz w:val="28"/>
          <w:szCs w:val="28"/>
        </w:rPr>
        <w:t>LAILA NICÁCIO</w:t>
      </w:r>
    </w:p>
    <w:p w:rsidR="002D2EEF" w:rsidRDefault="00C20A24">
      <w:pPr>
        <w:spacing w:after="165" w:line="36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 xml:space="preserve">Crescimento. Isso que a GV representa para mim. Quando entramos aqui vemos um ambiente gigantesco que nos faz </w:t>
      </w:r>
      <w:proofErr w:type="gramStart"/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>parecer</w:t>
      </w:r>
      <w:proofErr w:type="gramEnd"/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 xml:space="preserve"> pequenos pontinhos perdidos nessa imensidão. Aqu</w:t>
      </w:r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 xml:space="preserve">i a gente aprende, chora, </w:t>
      </w:r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lastRenderedPageBreak/>
        <w:t xml:space="preserve">tropeça, </w:t>
      </w:r>
      <w:proofErr w:type="gramStart"/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>cai,</w:t>
      </w:r>
      <w:proofErr w:type="gramEnd"/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 xml:space="preserve"> da risada, passa ódio, acontece de um tudo. Estoura a bolha! O crescer acontece de vez. Eu passei, eu vim, eu quis desistir, eu</w:t>
      </w:r>
      <w:r>
        <w:rPr>
          <w:rFonts w:ascii="Century Gothic" w:eastAsia="Century Gothic" w:hAnsi="Century Gothic" w:cs="Century Gothic"/>
          <w:color w:val="33333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>continuei, eu</w:t>
      </w:r>
      <w:r>
        <w:t xml:space="preserve"> </w:t>
      </w:r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>cresci. Como a amoreira que continua firme nesta escola com suas amorinhas, feito ela, estou aqui.</w:t>
      </w:r>
    </w:p>
    <w:p w:rsidR="002D2EEF" w:rsidRDefault="002D2EEF">
      <w:pPr>
        <w:spacing w:after="165" w:line="24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</w:p>
    <w:p w:rsidR="002D2EEF" w:rsidRDefault="002D2EEF">
      <w:pPr>
        <w:spacing w:after="165" w:line="24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</w:p>
    <w:p w:rsidR="002D2EEF" w:rsidRDefault="00C20A24">
      <w:pPr>
        <w:spacing w:after="165" w:line="24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color w:val="333333"/>
          <w:sz w:val="24"/>
          <w:szCs w:val="24"/>
        </w:rPr>
        <w:drawing>
          <wp:inline distT="0" distB="0" distL="0" distR="0">
            <wp:extent cx="5931692" cy="3081634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1692" cy="3081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2EEF" w:rsidRDefault="00C20A24">
      <w:pPr>
        <w:spacing w:after="165" w:line="240" w:lineRule="auto"/>
        <w:jc w:val="center"/>
        <w:rPr>
          <w:rFonts w:ascii="Century Gothic" w:eastAsia="Century Gothic" w:hAnsi="Century Gothic" w:cs="Century Gothic"/>
          <w:b/>
          <w:color w:val="333333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333333"/>
          <w:sz w:val="28"/>
          <w:szCs w:val="28"/>
        </w:rPr>
        <w:t>FELIPE ARRUDA BIENEMANN</w:t>
      </w:r>
    </w:p>
    <w:p w:rsidR="002D2EEF" w:rsidRDefault="002D2EEF">
      <w:pPr>
        <w:spacing w:after="165" w:line="240" w:lineRule="auto"/>
        <w:jc w:val="center"/>
        <w:rPr>
          <w:rFonts w:ascii="Century Gothic" w:eastAsia="Century Gothic" w:hAnsi="Century Gothic" w:cs="Century Gothic"/>
          <w:b/>
          <w:color w:val="333333"/>
          <w:sz w:val="28"/>
          <w:szCs w:val="28"/>
        </w:rPr>
      </w:pPr>
    </w:p>
    <w:p w:rsidR="002D2EEF" w:rsidRDefault="00C20A24">
      <w:pPr>
        <w:spacing w:after="165" w:line="360" w:lineRule="auto"/>
        <w:jc w:val="both"/>
        <w:rPr>
          <w:rFonts w:ascii="Century Gothic" w:eastAsia="Century Gothic" w:hAnsi="Century Gothic" w:cs="Century Gothic"/>
          <w:b/>
          <w:color w:val="33333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 xml:space="preserve">Com cada </w:t>
      </w:r>
      <w:proofErr w:type="spellStart"/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>estralaçada</w:t>
      </w:r>
      <w:proofErr w:type="spellEnd"/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>, cada chapa rechaçada, cada máquina se posiciona na orquestra metálica, deixando sua sinfonia ecoar glorios</w:t>
      </w:r>
      <w:r>
        <w:rPr>
          <w:rFonts w:ascii="Century Gothic" w:eastAsia="Century Gothic" w:hAnsi="Century Gothic" w:cs="Century Gothic"/>
          <w:b/>
          <w:color w:val="333333"/>
          <w:sz w:val="24"/>
          <w:szCs w:val="24"/>
        </w:rPr>
        <w:t>a, orgulhosa, desajustada; sua canção similar a um coração batente permanece imponente sempre presente funcionando como sempre.</w:t>
      </w:r>
    </w:p>
    <w:p w:rsidR="002D2EEF" w:rsidRDefault="00C20A24">
      <w:pPr>
        <w:spacing w:after="165" w:line="24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  <w:r>
        <w:rPr>
          <w:rFonts w:ascii="Century Gothic" w:eastAsia="Century Gothic" w:hAnsi="Century Gothic" w:cs="Century Gothic"/>
          <w:color w:val="333333"/>
          <w:sz w:val="24"/>
          <w:szCs w:val="24"/>
        </w:rPr>
        <w:t>Observação- Extraídas da Mostra de Fotos, poderão ser conferidas na Exposição aberta ao público dia 28/09/2024.</w:t>
      </w:r>
    </w:p>
    <w:p w:rsidR="002D2EEF" w:rsidRDefault="00C20A24">
      <w:pPr>
        <w:spacing w:after="165" w:line="240" w:lineRule="auto"/>
        <w:jc w:val="center"/>
        <w:rPr>
          <w:rFonts w:ascii="Century Gothic" w:eastAsia="Century Gothic" w:hAnsi="Century Gothic" w:cs="Century Gothic"/>
          <w:color w:val="333333"/>
          <w:sz w:val="24"/>
          <w:szCs w:val="24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>
            <wp:extent cx="1303612" cy="1303612"/>
            <wp:effectExtent l="0" t="0" r="0" b="0"/>
            <wp:docPr id="7" name="image6.png" descr="Logomarca da ETEC Getúlio Varg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Logomarca da ETEC Getúlio Varga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612" cy="1303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2EEF" w:rsidRDefault="002D2EEF">
      <w:pPr>
        <w:spacing w:after="165" w:line="24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</w:p>
    <w:p w:rsidR="002D2EEF" w:rsidRDefault="00C20A24">
      <w:pPr>
        <w:spacing w:after="165" w:line="36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  <w:r>
        <w:rPr>
          <w:rFonts w:ascii="Century Gothic" w:eastAsia="Century Gothic" w:hAnsi="Century Gothic" w:cs="Century Gothic"/>
          <w:color w:val="333333"/>
          <w:sz w:val="24"/>
          <w:szCs w:val="24"/>
        </w:rPr>
        <w:t>A Escola Técn</w:t>
      </w:r>
      <w:r>
        <w:rPr>
          <w:rFonts w:ascii="Century Gothic" w:eastAsia="Century Gothic" w:hAnsi="Century Gothic" w:cs="Century Gothic"/>
          <w:color w:val="333333"/>
          <w:sz w:val="24"/>
          <w:szCs w:val="24"/>
        </w:rPr>
        <w:t xml:space="preserve">ica Estadual Getúlio Vargas inicia suas atividades em 1911 como Escola Profissional Masculina, no bairro do Brás. </w:t>
      </w:r>
    </w:p>
    <w:p w:rsidR="002D2EEF" w:rsidRDefault="002D2EEF">
      <w:pPr>
        <w:spacing w:after="165" w:line="24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</w:p>
    <w:p w:rsidR="002D2EEF" w:rsidRDefault="00C20A24">
      <w:pPr>
        <w:jc w:val="center"/>
      </w:pPr>
      <w:r>
        <w:rPr>
          <w:rFonts w:ascii="Arial" w:eastAsia="Arial" w:hAnsi="Arial" w:cs="Arial"/>
          <w:b/>
          <w:noProof/>
          <w:color w:val="333333"/>
          <w:sz w:val="28"/>
          <w:szCs w:val="28"/>
        </w:rPr>
        <w:drawing>
          <wp:inline distT="0" distB="0" distL="0" distR="0">
            <wp:extent cx="5393239" cy="3564840"/>
            <wp:effectExtent l="0" t="0" r="0" b="0"/>
            <wp:docPr id="10" name="image8.jpg" descr="http://www.infopatrimonio.org/wp-content/uploads/2017/04/Primeira-Escola-Profissional-Masculina-prin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://www.infopatrimonio.org/wp-content/uploads/2017/04/Primeira-Escola-Profissional-Masculina-princ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239" cy="356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2EEF" w:rsidRDefault="00C20A24">
      <w:pPr>
        <w:spacing w:after="165" w:line="240" w:lineRule="auto"/>
        <w:rPr>
          <w:rFonts w:ascii="Century Gothic" w:eastAsia="Century Gothic" w:hAnsi="Century Gothic" w:cs="Century Gothic"/>
          <w:b/>
          <w:color w:val="333333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333333"/>
          <w:sz w:val="16"/>
          <w:szCs w:val="16"/>
        </w:rPr>
        <w:t xml:space="preserve">                Nome atribuído: Escola Profissional Masculina da Capital</w:t>
      </w:r>
      <w:r>
        <w:rPr>
          <w:rFonts w:ascii="Century Gothic" w:eastAsia="Century Gothic" w:hAnsi="Century Gothic" w:cs="Century Gothic"/>
          <w:b/>
          <w:color w:val="333333"/>
          <w:sz w:val="16"/>
          <w:szCs w:val="16"/>
        </w:rPr>
        <w:br/>
      </w:r>
      <w:r>
        <w:rPr>
          <w:rFonts w:ascii="Century Gothic" w:eastAsia="Century Gothic" w:hAnsi="Century Gothic" w:cs="Century Gothic"/>
          <w:b/>
          <w:color w:val="333333"/>
          <w:sz w:val="16"/>
          <w:szCs w:val="16"/>
        </w:rPr>
        <w:t xml:space="preserve">                Localização: </w:t>
      </w:r>
      <w:proofErr w:type="gramStart"/>
      <w:r>
        <w:rPr>
          <w:rFonts w:ascii="Century Gothic" w:eastAsia="Century Gothic" w:hAnsi="Century Gothic" w:cs="Century Gothic"/>
          <w:b/>
          <w:color w:val="333333"/>
          <w:sz w:val="16"/>
          <w:szCs w:val="16"/>
        </w:rPr>
        <w:t>R.</w:t>
      </w:r>
      <w:proofErr w:type="gramEnd"/>
      <w:r>
        <w:rPr>
          <w:rFonts w:ascii="Century Gothic" w:eastAsia="Century Gothic" w:hAnsi="Century Gothic" w:cs="Century Gothic"/>
          <w:b/>
          <w:color w:val="333333"/>
          <w:sz w:val="16"/>
          <w:szCs w:val="16"/>
        </w:rPr>
        <w:t xml:space="preserve"> Piratininga, nº 105 – Brás – São Paulo-SP</w:t>
      </w:r>
    </w:p>
    <w:p w:rsidR="002D2EEF" w:rsidRDefault="002D2EEF">
      <w:pPr>
        <w:spacing w:after="165" w:line="240" w:lineRule="auto"/>
        <w:rPr>
          <w:rFonts w:ascii="Century Gothic" w:eastAsia="Century Gothic" w:hAnsi="Century Gothic" w:cs="Century Gothic"/>
          <w:b/>
          <w:color w:val="333333"/>
          <w:sz w:val="16"/>
          <w:szCs w:val="16"/>
        </w:rPr>
      </w:pPr>
    </w:p>
    <w:p w:rsidR="002D2EEF" w:rsidRDefault="00C20A24">
      <w:pPr>
        <w:spacing w:after="165" w:line="36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  <w:r>
        <w:rPr>
          <w:rFonts w:ascii="Century Gothic" w:eastAsia="Century Gothic" w:hAnsi="Century Gothic" w:cs="Century Gothic"/>
          <w:color w:val="333333"/>
          <w:sz w:val="24"/>
          <w:szCs w:val="24"/>
        </w:rPr>
        <w:t>Inicialmente oferecendo os cursos de Mecânica, Pintura e Marcenaria, a escola ganha destaque no cenário educacional nacional sempre acompanhando as necessidades provenientes do dese</w:t>
      </w:r>
      <w:r>
        <w:rPr>
          <w:rFonts w:ascii="Century Gothic" w:eastAsia="Century Gothic" w:hAnsi="Century Gothic" w:cs="Century Gothic"/>
          <w:color w:val="333333"/>
          <w:sz w:val="24"/>
          <w:szCs w:val="24"/>
        </w:rPr>
        <w:t xml:space="preserve">nvolvimento urbano e industrial. No ano de 1964 a escola é transferida para o bairro do Ipiranga. </w:t>
      </w:r>
    </w:p>
    <w:p w:rsidR="002D2EEF" w:rsidRDefault="002D2EEF">
      <w:pPr>
        <w:spacing w:after="165" w:line="36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</w:p>
    <w:p w:rsidR="002D2EEF" w:rsidRDefault="00C20A24">
      <w:pPr>
        <w:spacing w:after="165" w:line="36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  <w:r>
        <w:rPr>
          <w:rFonts w:ascii="Century Gothic" w:eastAsia="Century Gothic" w:hAnsi="Century Gothic" w:cs="Century Gothic"/>
          <w:color w:val="333333"/>
          <w:sz w:val="24"/>
          <w:szCs w:val="24"/>
        </w:rPr>
        <w:t>Atualmente qualifica profissionais em diferentes eixos estruturais com a oferta dos cursos de ADMINISTRAÇÃO, AUTOMAÇÃO INDUSTRIAL, ALIMENTOS, DESIGN DE INTERIORES, EDIFICAÇÕES, ELETRÔNICA, ELETROELETRÔNICA, ELETROTÉCNICA, MARKETING,</w:t>
      </w:r>
      <w:proofErr w:type="gramStart"/>
      <w:r>
        <w:rPr>
          <w:rFonts w:ascii="Century Gothic" w:eastAsia="Century Gothic" w:hAnsi="Century Gothic" w:cs="Century Gothic"/>
          <w:color w:val="333333"/>
          <w:sz w:val="24"/>
          <w:szCs w:val="24"/>
        </w:rPr>
        <w:t xml:space="preserve">   </w:t>
      </w:r>
      <w:proofErr w:type="gramEnd"/>
      <w:r>
        <w:rPr>
          <w:rFonts w:ascii="Century Gothic" w:eastAsia="Century Gothic" w:hAnsi="Century Gothic" w:cs="Century Gothic"/>
          <w:color w:val="333333"/>
          <w:sz w:val="24"/>
          <w:szCs w:val="24"/>
        </w:rPr>
        <w:t>MECATRÔNICA, MEIO AMB</w:t>
      </w:r>
      <w:r>
        <w:rPr>
          <w:rFonts w:ascii="Century Gothic" w:eastAsia="Century Gothic" w:hAnsi="Century Gothic" w:cs="Century Gothic"/>
          <w:color w:val="333333"/>
          <w:sz w:val="24"/>
          <w:szCs w:val="24"/>
        </w:rPr>
        <w:t xml:space="preserve">IENTE, NUTRIÇÃO E DIETÉTICA, QUÍMICA E SERVIÇOS JURÍDICOS. </w:t>
      </w:r>
    </w:p>
    <w:p w:rsidR="002D2EEF" w:rsidRDefault="002D2EEF">
      <w:pPr>
        <w:spacing w:after="165" w:line="36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</w:p>
    <w:p w:rsidR="002D2EEF" w:rsidRDefault="00C20A24">
      <w:pPr>
        <w:spacing w:after="165" w:line="36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  <w:r>
        <w:rPr>
          <w:rFonts w:ascii="Century Gothic" w:eastAsia="Century Gothic" w:hAnsi="Century Gothic" w:cs="Century Gothic"/>
          <w:color w:val="333333"/>
          <w:sz w:val="24"/>
          <w:szCs w:val="24"/>
        </w:rPr>
        <w:t xml:space="preserve">É indispensável lembrar que muitas personalidades marcantes estudaram na </w:t>
      </w:r>
      <w:proofErr w:type="spellStart"/>
      <w:r>
        <w:rPr>
          <w:rFonts w:ascii="Century Gothic" w:eastAsia="Century Gothic" w:hAnsi="Century Gothic" w:cs="Century Gothic"/>
          <w:color w:val="333333"/>
          <w:sz w:val="24"/>
          <w:szCs w:val="24"/>
        </w:rPr>
        <w:t>Etec</w:t>
      </w:r>
      <w:proofErr w:type="spellEnd"/>
      <w:r>
        <w:rPr>
          <w:rFonts w:ascii="Century Gothic" w:eastAsia="Century Gothic" w:hAnsi="Century Gothic" w:cs="Century Gothic"/>
          <w:color w:val="333333"/>
          <w:sz w:val="24"/>
          <w:szCs w:val="24"/>
        </w:rPr>
        <w:t xml:space="preserve"> Getúlio Vargas. Como alguns dos artistas modernos brasileiros:</w:t>
      </w:r>
    </w:p>
    <w:p w:rsidR="002D2EEF" w:rsidRDefault="00C20A24">
      <w:pPr>
        <w:spacing w:after="165" w:line="240" w:lineRule="auto"/>
        <w:jc w:val="both"/>
        <w:rPr>
          <w:rFonts w:ascii="Century Gothic" w:eastAsia="Century Gothic" w:hAnsi="Century Gothic" w:cs="Century Gothic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-379094</wp:posOffset>
            </wp:positionH>
            <wp:positionV relativeFrom="paragraph">
              <wp:posOffset>369570</wp:posOffset>
            </wp:positionV>
            <wp:extent cx="3049270" cy="1624330"/>
            <wp:effectExtent l="0" t="0" r="0" b="0"/>
            <wp:wrapSquare wrapText="bothSides" distT="0" distB="0" distL="114300" distR="114300"/>
            <wp:docPr id="6" name="image5.png" descr="Resultado de imagem para obras de Rebo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Resultado de imagem para obras de Rebol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624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2760345</wp:posOffset>
            </wp:positionH>
            <wp:positionV relativeFrom="paragraph">
              <wp:posOffset>341630</wp:posOffset>
            </wp:positionV>
            <wp:extent cx="3015615" cy="1596390"/>
            <wp:effectExtent l="0" t="0" r="0" b="0"/>
            <wp:wrapSquare wrapText="bothSides" distT="0" distB="0" distL="114300" distR="114300"/>
            <wp:docPr id="8" name="image4.jpg" descr="Imagem de desenho animado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magem de desenho animado&#10;&#10;Descrição gerada automaticamente com confiança baix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159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2EEF" w:rsidRDefault="00C20A24">
      <w:p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24"/>
          <w:szCs w:val="24"/>
        </w:rPr>
        <w:br/>
      </w:r>
      <w:r>
        <w:rPr>
          <w:rFonts w:ascii="Century Gothic" w:eastAsia="Century Gothic" w:hAnsi="Century Gothic" w:cs="Century Gothic"/>
          <w:sz w:val="16"/>
          <w:szCs w:val="16"/>
        </w:rPr>
        <w:t xml:space="preserve">                       Francisco Rebolo           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                             Alfredo Volpi</w:t>
      </w: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C20A24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1272521" cy="1755442"/>
            <wp:effectExtent l="0" t="0" r="0" b="0"/>
            <wp:docPr id="1" name="image7.png" descr="Uma imagem contendo mesa, no interior, edifício, jan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Uma imagem contendo mesa, no interior, edifício, janela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21" cy="1755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2254" cy="1764000"/>
            <wp:effectExtent l="0" t="0" r="0" b="0"/>
            <wp:docPr id="3" name="image1.png" descr="Imagem em preto e bran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m em preto e branco&#10;&#10;Descrição gerad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254" cy="17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2EEF" w:rsidRDefault="00C20A24">
      <w:pPr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                                                  Aldo </w:t>
      </w:r>
      <w:proofErr w:type="spellStart"/>
      <w:r>
        <w:rPr>
          <w:rFonts w:ascii="Century Gothic" w:eastAsia="Century Gothic" w:hAnsi="Century Gothic" w:cs="Century Gothic"/>
          <w:sz w:val="16"/>
          <w:szCs w:val="16"/>
        </w:rPr>
        <w:t>Bonadei</w:t>
      </w:r>
      <w:proofErr w:type="spellEnd"/>
      <w:r>
        <w:rPr>
          <w:rFonts w:ascii="Century Gothic" w:eastAsia="Century Gothic" w:hAnsi="Century Gothic" w:cs="Century Gothic"/>
          <w:sz w:val="16"/>
          <w:szCs w:val="16"/>
        </w:rPr>
        <w:t xml:space="preserve">               Luiz </w:t>
      </w:r>
      <w:proofErr w:type="spellStart"/>
      <w:r>
        <w:rPr>
          <w:rFonts w:ascii="Century Gothic" w:eastAsia="Century Gothic" w:hAnsi="Century Gothic" w:cs="Century Gothic"/>
          <w:sz w:val="16"/>
          <w:szCs w:val="16"/>
        </w:rPr>
        <w:t>Sacilotto</w:t>
      </w:r>
      <w:proofErr w:type="spellEnd"/>
    </w:p>
    <w:p w:rsidR="002D2EEF" w:rsidRDefault="002D2EEF">
      <w:pPr>
        <w:rPr>
          <w:rFonts w:ascii="Century Gothic" w:eastAsia="Century Gothic" w:hAnsi="Century Gothic" w:cs="Century Gothic"/>
          <w:sz w:val="16"/>
          <w:szCs w:val="16"/>
        </w:rPr>
      </w:pPr>
    </w:p>
    <w:p w:rsidR="002D2EEF" w:rsidRDefault="002D2EEF">
      <w:pPr>
        <w:rPr>
          <w:rFonts w:ascii="Century Gothic" w:eastAsia="Century Gothic" w:hAnsi="Century Gothic" w:cs="Century Gothic"/>
          <w:sz w:val="16"/>
          <w:szCs w:val="16"/>
        </w:rPr>
      </w:pPr>
    </w:p>
    <w:p w:rsidR="002D2EEF" w:rsidRDefault="00C20A24">
      <w:pPr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Além de empresários e políticos de destaque no cenário nacional.</w:t>
      </w:r>
    </w:p>
    <w:p w:rsidR="002D2EEF" w:rsidRDefault="00C20A24">
      <w:pPr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Assim, podemos dizer que nestes 113 anos, a GV te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m muita história para contar. </w:t>
      </w:r>
    </w:p>
    <w:p w:rsidR="002D2EEF" w:rsidRDefault="00C20A24">
      <w:pPr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Os primeiros passos para salvaguardar esta história começa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por volta dos anos 2000 quando a escola participa de um projeto em parceria com a Faculdade de Educação da USP juntamente com as sete escolas mais antigas do Estado. </w:t>
      </w:r>
    </w:p>
    <w:p w:rsidR="002D2EEF" w:rsidRDefault="00C20A24">
      <w:pPr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Além desta iniciativa desde 2013 faz parte do Regulamento Comum das Escolas Técnicas Estaduais do Centro Estadual de Educação Tecnológica Paula Souza a deliberação nº 3, de 18 de julho no artigo 114, dispõe que os “documentos produzidos, recebidos e acumu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lados no exercício das funções e atividades públicas das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Etecs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serão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preservados, selecionados e conservados, segundo normas e procedimentos técnicos, atendida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a legislação”. </w:t>
      </w:r>
    </w:p>
    <w:p w:rsidR="002D2EEF" w:rsidRDefault="00C20A24">
      <w:pPr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Deste modo 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Etec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Getúlio Vargas passou a ter um Centro de Memória, documentando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toda a trajetória desta unidade e cuidando de seu valioso acervo, além de promover variadas atividades educativas como exposições, visitas guiadas e atendimento de pesquisadores.</w:t>
      </w:r>
    </w:p>
    <w:p w:rsidR="002D2EEF" w:rsidRDefault="002D2EE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C20A24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5599235" cy="4235299"/>
            <wp:effectExtent l="0" t="0" r="0" b="0"/>
            <wp:docPr id="2" name="image9.png" descr="Uma imagem contendo no interior, quarto, mesa, fo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Uma imagem contendo no interior, quarto, mesa, foto&#10;&#10;Descrição gerada automaticament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235" cy="4235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C20A24">
      <w:pPr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Neste momento, a semana cultural pretende mostrar uma programação variada que percorre ações de pesquisa na elaboração 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 xml:space="preserve">do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Jornal da ETEC GV,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apresentação de uma </w:t>
      </w:r>
      <w:r>
        <w:rPr>
          <w:rFonts w:ascii="Century Gothic" w:eastAsia="Century Gothic" w:hAnsi="Century Gothic" w:cs="Century Gothic"/>
          <w:b/>
          <w:sz w:val="24"/>
          <w:szCs w:val="24"/>
        </w:rPr>
        <w:t>Mostra de Fotos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com textos livres vinculados à vida estudantil dentro da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Etec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, exposição de </w:t>
      </w:r>
      <w:r>
        <w:rPr>
          <w:rFonts w:ascii="Century Gothic" w:eastAsia="Century Gothic" w:hAnsi="Century Gothic" w:cs="Century Gothic"/>
          <w:b/>
          <w:sz w:val="24"/>
          <w:szCs w:val="24"/>
        </w:rPr>
        <w:t>Maq</w:t>
      </w:r>
      <w:r>
        <w:rPr>
          <w:rFonts w:ascii="Century Gothic" w:eastAsia="Century Gothic" w:hAnsi="Century Gothic" w:cs="Century Gothic"/>
          <w:b/>
          <w:sz w:val="24"/>
          <w:szCs w:val="24"/>
        </w:rPr>
        <w:t>uetes Topográficas e Volumétricas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da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Etec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, Práticas de </w:t>
      </w:r>
      <w:r>
        <w:rPr>
          <w:rFonts w:ascii="Century Gothic" w:eastAsia="Century Gothic" w:hAnsi="Century Gothic" w:cs="Century Gothic"/>
          <w:b/>
          <w:sz w:val="24"/>
          <w:szCs w:val="24"/>
        </w:rPr>
        <w:t>Elaboração de sabonetes</w:t>
      </w:r>
      <w:r>
        <w:rPr>
          <w:rFonts w:ascii="Century Gothic" w:eastAsia="Century Gothic" w:hAnsi="Century Gothic" w:cs="Century Gothic"/>
          <w:sz w:val="24"/>
          <w:szCs w:val="24"/>
        </w:rPr>
        <w:t>, o Cuidado no plantio de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Suculentas, </w:t>
      </w:r>
      <w:r>
        <w:rPr>
          <w:rFonts w:ascii="Century Gothic" w:eastAsia="Century Gothic" w:hAnsi="Century Gothic" w:cs="Century Gothic"/>
          <w:sz w:val="24"/>
          <w:szCs w:val="24"/>
        </w:rPr>
        <w:t>Práticas de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Sustentabilidade,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Apresentação de </w:t>
      </w:r>
      <w:r>
        <w:rPr>
          <w:rFonts w:ascii="Century Gothic" w:eastAsia="Century Gothic" w:hAnsi="Century Gothic" w:cs="Century Gothic"/>
          <w:b/>
          <w:sz w:val="24"/>
          <w:szCs w:val="24"/>
        </w:rPr>
        <w:t>Temas famosos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>e controversos do Direito</w:t>
      </w:r>
      <w:r>
        <w:rPr>
          <w:rFonts w:ascii="Century Gothic" w:eastAsia="Century Gothic" w:hAnsi="Century Gothic" w:cs="Century Gothic"/>
          <w:sz w:val="24"/>
          <w:szCs w:val="24"/>
        </w:rPr>
        <w:t>, Práticas de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Energias Renováveis, Texturização de Par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edes, Exposição e </w:t>
      </w:r>
      <w:proofErr w:type="spellStart"/>
      <w:r>
        <w:rPr>
          <w:rFonts w:ascii="Century Gothic" w:eastAsia="Century Gothic" w:hAnsi="Century Gothic" w:cs="Century Gothic"/>
          <w:b/>
          <w:sz w:val="24"/>
          <w:szCs w:val="24"/>
        </w:rPr>
        <w:t>Wokshops</w:t>
      </w:r>
      <w:proofErr w:type="spell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de pintura, Workshop de </w:t>
      </w:r>
      <w:proofErr w:type="spellStart"/>
      <w:r>
        <w:rPr>
          <w:rFonts w:ascii="Century Gothic" w:eastAsia="Century Gothic" w:hAnsi="Century Gothic" w:cs="Century Gothic"/>
          <w:b/>
          <w:sz w:val="24"/>
          <w:szCs w:val="24"/>
        </w:rPr>
        <w:t>Renderização</w:t>
      </w:r>
      <w:proofErr w:type="spellEnd"/>
      <w:r>
        <w:rPr>
          <w:rFonts w:ascii="Century Gothic" w:eastAsia="Century Gothic" w:hAnsi="Century Gothic" w:cs="Century Gothic"/>
          <w:b/>
          <w:sz w:val="24"/>
          <w:szCs w:val="24"/>
        </w:rPr>
        <w:t>, Demonstrações de Instalações Elétricas, Bancadas com CLP, Demonstrações com Robôs, com Circuitos Pneumáticos, com máquinas  CNC, a Casa do Brigadeiro, Desenvolvimento dos Trabalhos de Conclus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ão de Curso(TCC), Conhecimentos como Avaliação Nutricional, Sistema Digestório </w:t>
      </w:r>
      <w:r>
        <w:rPr>
          <w:rFonts w:ascii="Century Gothic" w:eastAsia="Century Gothic" w:hAnsi="Century Gothic" w:cs="Century Gothic"/>
          <w:sz w:val="24"/>
          <w:szCs w:val="24"/>
        </w:rPr>
        <w:t>e sobre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Chás Fitoterápicos e Temperos Culinários.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O Centro de Memória estará aberto para visitação com a exposição </w:t>
      </w:r>
      <w:r>
        <w:rPr>
          <w:rFonts w:ascii="Century Gothic" w:eastAsia="Century Gothic" w:hAnsi="Century Gothic" w:cs="Century Gothic"/>
          <w:b/>
          <w:sz w:val="24"/>
          <w:szCs w:val="24"/>
        </w:rPr>
        <w:t>“</w:t>
      </w:r>
      <w:proofErr w:type="spellStart"/>
      <w:r>
        <w:rPr>
          <w:rFonts w:ascii="Century Gothic" w:eastAsia="Century Gothic" w:hAnsi="Century Gothic" w:cs="Century Gothic"/>
          <w:b/>
          <w:sz w:val="24"/>
          <w:szCs w:val="24"/>
        </w:rPr>
        <w:t>Etec</w:t>
      </w:r>
      <w:proofErr w:type="spell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Getúlio Vargas: 60 anos de Ipiranga, 113 anos de tradiçã</w:t>
      </w:r>
      <w:r>
        <w:rPr>
          <w:rFonts w:ascii="Century Gothic" w:eastAsia="Century Gothic" w:hAnsi="Century Gothic" w:cs="Century Gothic"/>
          <w:b/>
          <w:sz w:val="24"/>
          <w:szCs w:val="24"/>
        </w:rPr>
        <w:t>o”.</w:t>
      </w:r>
    </w:p>
    <w:p w:rsidR="002D2EEF" w:rsidRDefault="002D2EE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C20A24">
      <w:pPr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Para participar, basta comparecer à Unidade e se inscrever nos workshops ou palestras e oficinas.</w:t>
      </w:r>
    </w:p>
    <w:p w:rsidR="002D2EEF" w:rsidRDefault="00C20A2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Arial" w:eastAsia="Arial" w:hAnsi="Arial" w:cs="Arial"/>
          <w:b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03917" cy="4427938"/>
            <wp:effectExtent l="0" t="0" r="0" b="0"/>
            <wp:docPr id="4" name="image2.jpg" descr="https://scontent.fcgh3-1.fna.fbcdn.net/v/t1.0-9/11990596_771897266253681_8914871416649280313_n.jpg?_nc_cat=106&amp;_nc_ht=scontent.fcgh3-1.fna&amp;oh=2e6ee999d39730c739b21a1f8ca95267&amp;oe=5C55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scontent.fcgh3-1.fna.fbcdn.net/v/t1.0-9/11990596_771897266253681_8914871416649280313_n.jpg?_nc_cat=106&amp;_nc_ht=scontent.fcgh3-1.fna&amp;oh=2e6ee999d39730c739b21a1f8ca95267&amp;oe=5C551014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3917" cy="4427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2EEF" w:rsidRDefault="00C20A24">
      <w:pPr>
        <w:jc w:val="center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Fachada da ETEC GETÚLIO VARGAS</w:t>
      </w:r>
    </w:p>
    <w:p w:rsidR="002D2EEF" w:rsidRDefault="00C20A24">
      <w:pPr>
        <w:rPr>
          <w:rFonts w:ascii="Century Gothic" w:eastAsia="Century Gothic" w:hAnsi="Century Gothic" w:cs="Century Gothic"/>
          <w:sz w:val="16"/>
          <w:szCs w:val="16"/>
        </w:rPr>
      </w:pP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Etec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Getúlio Vargas</w:t>
      </w:r>
    </w:p>
    <w:p w:rsidR="002D2EEF" w:rsidRDefault="00C20A2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Rua Moreira e Costa, 243 – Ipiranga – 04266 –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010</w:t>
      </w:r>
      <w:proofErr w:type="gramEnd"/>
    </w:p>
    <w:p w:rsidR="002D2EEF" w:rsidRDefault="00C20A2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(11) 2066.2500</w:t>
      </w:r>
    </w:p>
    <w:p w:rsidR="002D2EEF" w:rsidRDefault="002D2EEF">
      <w:pPr>
        <w:tabs>
          <w:tab w:val="left" w:pos="1045"/>
        </w:tabs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2D2EEF">
      <w:pPr>
        <w:tabs>
          <w:tab w:val="left" w:pos="1045"/>
        </w:tabs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p w:rsidR="002D2EEF" w:rsidRDefault="002D2EEF">
      <w:pPr>
        <w:rPr>
          <w:rFonts w:ascii="Century Gothic" w:eastAsia="Century Gothic" w:hAnsi="Century Gothic" w:cs="Century Gothic"/>
          <w:sz w:val="24"/>
          <w:szCs w:val="24"/>
        </w:rPr>
      </w:pPr>
    </w:p>
    <w:sectPr w:rsidR="002D2EEF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D2EEF"/>
    <w:rsid w:val="002D2EEF"/>
    <w:rsid w:val="00C2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pPr>
      <w:spacing w:line="278" w:lineRule="auto"/>
    </w:pPr>
    <w:rPr>
      <w:color w:val="595959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pPr>
      <w:spacing w:line="278" w:lineRule="auto"/>
    </w:pPr>
    <w:rPr>
      <w:color w:val="595959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</dc:creator>
  <cp:lastModifiedBy>Fabiana</cp:lastModifiedBy>
  <cp:revision>2</cp:revision>
  <dcterms:created xsi:type="dcterms:W3CDTF">2024-09-10T12:57:00Z</dcterms:created>
  <dcterms:modified xsi:type="dcterms:W3CDTF">2024-09-10T12:57:00Z</dcterms:modified>
</cp:coreProperties>
</file>